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right="360"/>
        <w:rPr>
          <w:rFonts w:ascii="Calibri" w:cs="Calibri" w:eastAsia="Calibri" w:hAnsi="Calibri"/>
          <w:b w:val="1"/>
          <w:i w:val="1"/>
          <w:color w:val="f7964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ind w:right="360"/>
        <w:rPr>
          <w:rFonts w:ascii="Calibri" w:cs="Calibri" w:eastAsia="Calibri" w:hAnsi="Calibri"/>
          <w:color w:val="f7964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79646"/>
          <w:sz w:val="36"/>
          <w:szCs w:val="36"/>
          <w:rtl w:val="0"/>
        </w:rPr>
        <w:t xml:space="preserve">02/013/2019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360"/>
        <w:rPr>
          <w:rFonts w:ascii="Calibri" w:cs="Calibri" w:eastAsia="Calibri" w:hAnsi="Calibri"/>
          <w:color w:val="595959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36"/>
          <w:szCs w:val="36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Approval of January minutes</w:t>
        <w:tab/>
        <w:tab/>
        <w:tab/>
        <w:tab/>
        <w:t xml:space="preserve">Lili Maldonado</w:t>
      </w:r>
    </w:p>
    <w:p w:rsidR="00000000" w:rsidDel="00000000" w:rsidP="00000000" w:rsidRDefault="00000000" w:rsidRPr="00000000" w14:paraId="00000009">
      <w:pPr>
        <w:spacing w:line="240" w:lineRule="auto"/>
        <w:ind w:left="1260" w:right="360" w:firstLine="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Updates on TTESS/TPESS timelines</w:t>
        <w:tab/>
        <w:tab/>
        <w:tab/>
        <w:t xml:space="preserve">Elvia Moreno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Campus Comprehensive Needs Assessments</w:t>
        <w:tab/>
        <w:tab/>
        <w:t xml:space="preserve">Elvia Moreno</w:t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District of Innovation for 2019-2020</w:t>
        <w:tab/>
        <w:tab/>
        <w:tab/>
        <w:t xml:space="preserve">Elvia Moreno</w:t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Questions &amp; Answers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right="360" w:firstLine="0"/>
        <w:rPr/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Looking Forward:  Next DAC March 13, 2019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6586538" cy="1390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5359" r="4869" t="17194"/>
                  <a:stretch>
                    <a:fillRect/>
                  </a:stretch>
                </pic:blipFill>
                <pic:spPr>
                  <a:xfrm>
                    <a:off x="0" y="0"/>
                    <a:ext cx="6586538" cy="1390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